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Multilingual Layout Sheet 23</w:t>
      </w:r>
    </w:p>
    <w:p>
      <w:r>
        <w:rPr>
          <w:b/>
        </w:rPr>
        <w:t xml:space="preserve">Source pattern: </w:t>
      </w:r>
      <w:r>
        <w:t>Unicode line breaking and bidi reference material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23;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Arabic shaping</w:t>
      </w:r>
    </w:p>
    <w:p>
      <w:pPr>
        <w:pStyle w:val="ListBullet"/>
      </w:pPr>
      <w:r>
        <w:t>Hebrew bidi</w:t>
      </w:r>
    </w:p>
    <w:p>
      <w:pPr>
        <w:pStyle w:val="ListBullet"/>
      </w:pPr>
      <w:r>
        <w:t>Thai breaks</w:t>
      </w:r>
    </w:p>
    <w:p>
      <w:pPr>
        <w:pStyle w:val="ListBullet"/>
      </w:pPr>
      <w:r>
        <w:t>CJK kinsoku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case-23-1</w:t>
            </w:r>
          </w:p>
        </w:tc>
        <w:tc>
          <w:tcPr>
            <w:tcW w:type="dxa" w:w="2469"/>
          </w:tcPr>
          <w:p>
            <w:r>
              <w:t>line break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case-23-2</w:t>
            </w:r>
          </w:p>
        </w:tc>
        <w:tc>
          <w:tcPr>
            <w:tcW w:type="dxa" w:w="2469"/>
          </w:tcPr>
          <w:p>
            <w:r>
              <w:t>fonts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case-23-3</w:t>
            </w:r>
          </w:p>
        </w:tc>
        <w:tc>
          <w:tcPr>
            <w:tcW w:type="dxa" w:w="2469"/>
          </w:tcPr>
          <w:p>
            <w:r>
              <w:t>vertical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case-23-4</w:t>
            </w:r>
          </w:p>
        </w:tc>
        <w:tc>
          <w:tcPr>
            <w:tcW w:type="dxa" w:w="2469"/>
          </w:tcPr>
          <w:p>
            <w:r>
              <w:t>bidi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3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3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Unicode UAX #14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23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Multilingual Layout Sheet 23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International text test · Multilingual Layout Sheet 23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unicode.org/reports/tr14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