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API Integration Guide 17</w:t>
      </w:r>
    </w:p>
    <w:p>
      <w:r>
        <w:rPr>
          <w:b/>
        </w:rPr>
        <w:t xml:space="preserve">Source pattern: </w:t>
      </w:r>
      <w:r>
        <w:t>Open XML SDK and public API documentation patterns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17;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technical api guide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technical api guide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Validate endpoints</w:t>
      </w:r>
    </w:p>
    <w:p>
      <w:pPr>
        <w:pStyle w:val="ListBullet"/>
      </w:pPr>
      <w:r>
        <w:t>Render code blocks</w:t>
      </w:r>
    </w:p>
    <w:p>
      <w:pPr>
        <w:pStyle w:val="ListBullet"/>
      </w:pPr>
      <w:r>
        <w:t>Preserve request tables</w:t>
      </w:r>
    </w:p>
    <w:p>
      <w:pPr>
        <w:pStyle w:val="ListBullet"/>
      </w:pPr>
      <w:r>
        <w:t>Save without repair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case-17-1</w:t>
            </w:r>
          </w:p>
        </w:tc>
        <w:tc>
          <w:tcPr>
            <w:tcW w:type="dxa" w:w="2469"/>
          </w:tcPr>
          <w:p>
            <w:r>
              <w:t>hyperlink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case-17-2</w:t>
            </w:r>
          </w:p>
        </w:tc>
        <w:tc>
          <w:tcPr>
            <w:tcW w:type="dxa" w:w="2469"/>
          </w:tcPr>
          <w:p>
            <w:r>
              <w:t>field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case-17-3</w:t>
            </w:r>
          </w:p>
        </w:tc>
        <w:tc>
          <w:tcPr>
            <w:tcW w:type="dxa" w:w="2469"/>
          </w:tcPr>
          <w:p>
            <w:r>
              <w:t>header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case-17-4</w:t>
            </w:r>
          </w:p>
        </w:tc>
        <w:tc>
          <w:tcPr>
            <w:tcW w:type="dxa" w:w="2469"/>
          </w:tcPr>
          <w:p>
            <w:r>
              <w:t>table grid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7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7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Open XML SDK docs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7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API Integration Guide 17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Technical API guide · API Integration Guide 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learn.microsoft.com/en-us/office/open-xml/about-the-open-xml-sdk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