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Math Formula Spec 14</w:t>
      </w:r>
    </w:p>
    <w:p>
      <w:r>
        <w:rPr>
          <w:b/>
        </w:rPr>
        <w:t xml:space="preserve">Source pattern: </w:t>
      </w:r>
      <w:r>
        <w:t>Open XML math and line-break reference patterns</w:t>
      </w:r>
      <w:r>
        <w:t xml:space="preserve"> · License: generated AGPL-compatible fixture, no third-party prose copied.</w:t>
      </w:r>
    </w:p>
    <w:p>
      <w:pPr>
        <w:pStyle w:val="IntenseQuote"/>
        <w:pBdr>
          <w:bottom w:val="single" w:sz="6" w:space="1" w:color="A6A6A6"/>
        </w:pBdr>
      </w:pPr>
      <w:r>
        <w:rPr>
          <w:i/>
        </w:rPr>
        <w:t>Internet-material driven fixture 14; reusable synthetic prose with real DOCX structures.</w:t>
      </w:r>
    </w:p>
    <w:p>
      <w:pPr>
        <w:pStyle w:val="Heading1"/>
      </w:pPr>
      <w:r>
        <w:t>1. Purpose and scope</w:t>
      </w:r>
    </w:p>
    <w:p>
      <w:pPr/>
      <w:r>
        <w:t xml:space="preserve">This fixture exercises technical math document layout, tables, lists, hyperlinks, headers, images and WordprocessingML fields. </w:t>
      </w:r>
      <w:r>
        <w:t>重点验证中文、English、数字编号与分页稳定性。</w:t>
      </w:r>
    </w:p>
    <w:p>
      <w:pPr/>
      <w:r>
        <w:t xml:space="preserve">This fixture exercises technical math document layout, tables, lists, hyperlinks, headers, images and WordprocessingML fields. </w:t>
      </w:r>
      <w:r>
        <w:t>重点验证中文、English、数字编号与分页稳定性。</w:t>
      </w:r>
      <w:r>
        <w:rPr>
          <w:rFonts w:ascii="Arial" w:hAnsi="Arial"/>
          <w:sz w:val="20"/>
        </w:rPr>
        <w:t xml:space="preserve">  مرحبا שלום हिंदी ไทย 日本語 한국어</w:t>
      </w:r>
    </w:p>
    <w:p>
      <w:pPr>
        <w:pStyle w:val="Heading1"/>
      </w:pPr>
      <w:r>
        <w:t>2. Checklist</w:t>
      </w:r>
    </w:p>
    <w:p>
      <w:pPr>
        <w:pStyle w:val="ListBullet"/>
      </w:pPr>
      <w:r>
        <w:t>Fractions</w:t>
      </w:r>
    </w:p>
    <w:p>
      <w:pPr>
        <w:pStyle w:val="ListBullet"/>
      </w:pPr>
      <w:r>
        <w:t>Matrices</w:t>
      </w:r>
    </w:p>
    <w:p>
      <w:pPr>
        <w:pStyle w:val="ListBullet"/>
      </w:pPr>
      <w:r>
        <w:t>N-ary operators</w:t>
      </w:r>
    </w:p>
    <w:p>
      <w:pPr>
        <w:pStyle w:val="ListBullet"/>
      </w:pPr>
      <w:r>
        <w:t>Baseline layout</w:t>
      </w:r>
    </w:p>
    <w:p>
      <w:pPr>
        <w:pStyle w:val="Heading1"/>
      </w:pPr>
      <w:r>
        <w:t>3. Control table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69"/>
        <w:gridCol w:w="3369"/>
        <w:gridCol w:w="3369"/>
        <w:gridCol w:w="3369"/>
      </w:tblGrid>
      <w:tr>
        <w:tc>
          <w:tcPr>
            <w:tcW w:type="dxa" w:w="3369"/>
            <w:shd w:fill="D9EAF7"/>
          </w:tcPr>
          <w:p>
            <w:r>
              <w:t>Area</w:t>
            </w:r>
          </w:p>
        </w:tc>
        <w:tc>
          <w:tcPr>
            <w:tcW w:type="dxa" w:w="3369"/>
            <w:shd w:fill="D9EAF7"/>
          </w:tcPr>
          <w:p>
            <w:r>
              <w:t>Input</w:t>
            </w:r>
          </w:p>
        </w:tc>
        <w:tc>
          <w:tcPr>
            <w:tcW w:type="dxa" w:w="3369"/>
            <w:shd w:fill="D9EAF7"/>
          </w:tcPr>
          <w:p>
            <w:r>
              <w:t>Expected</w:t>
            </w:r>
          </w:p>
        </w:tc>
        <w:tc>
          <w:tcPr>
            <w:tcW w:type="dxa" w:w="3369"/>
            <w:shd w:fill="D9EAF7"/>
          </w:tcPr>
          <w:p>
            <w:r>
              <w:t>Owner</w:t>
            </w:r>
          </w:p>
        </w:tc>
      </w:tr>
      <w:tr>
        <w:tc>
          <w:tcPr>
            <w:tcW w:type="dxa" w:w="3369"/>
          </w:tcPr>
          <w:p>
            <w:r>
              <w:t>Technical math document</w:t>
            </w:r>
          </w:p>
        </w:tc>
        <w:tc>
          <w:tcPr>
            <w:tcW w:type="dxa" w:w="3369"/>
          </w:tcPr>
          <w:p>
            <w:r>
              <w:t>case-14-1</w:t>
            </w:r>
          </w:p>
        </w:tc>
        <w:tc>
          <w:tcPr>
            <w:tcW w:type="dxa" w:w="3369"/>
          </w:tcPr>
          <w:p>
            <w:r>
              <w:t>font</w:t>
            </w:r>
          </w:p>
        </w:tc>
        <w:tc>
          <w:tcPr>
            <w:tcW w:type="dxa" w:w="3369"/>
          </w:tcPr>
          <w:p>
            <w:r>
              <w:t>Dev</w:t>
            </w:r>
          </w:p>
        </w:tc>
      </w:tr>
      <w:tr>
        <w:tc>
          <w:tcPr>
            <w:tcW w:type="dxa" w:w="3369"/>
          </w:tcPr>
          <w:p>
            <w:r>
              <w:t>Technical math document</w:t>
            </w:r>
          </w:p>
        </w:tc>
        <w:tc>
          <w:tcPr>
            <w:tcW w:type="dxa" w:w="3369"/>
          </w:tcPr>
          <w:p>
            <w:r>
              <w:t>case-14-2</w:t>
            </w:r>
          </w:p>
        </w:tc>
        <w:tc>
          <w:tcPr>
            <w:tcW w:type="dxa" w:w="3369"/>
          </w:tcPr>
          <w:p>
            <w:r>
              <w:t>paragraph</w:t>
            </w:r>
          </w:p>
        </w:tc>
        <w:tc>
          <w:tcPr>
            <w:tcW w:type="dxa" w:w="3369"/>
          </w:tcPr>
          <w:p>
            <w:r>
              <w:t>PM</w:t>
            </w:r>
          </w:p>
        </w:tc>
      </w:tr>
      <w:tr>
        <w:tc>
          <w:tcPr>
            <w:tcW w:type="dxa" w:w="3369"/>
          </w:tcPr>
          <w:p>
            <w:r>
              <w:t>Technical math document</w:t>
            </w:r>
          </w:p>
        </w:tc>
        <w:tc>
          <w:tcPr>
            <w:tcW w:type="dxa" w:w="3369"/>
          </w:tcPr>
          <w:p>
            <w:r>
              <w:t>case-14-3</w:t>
            </w:r>
          </w:p>
        </w:tc>
        <w:tc>
          <w:tcPr>
            <w:tcW w:type="dxa" w:w="3369"/>
          </w:tcPr>
          <w:p>
            <w:r>
              <w:t>image</w:t>
            </w:r>
          </w:p>
        </w:tc>
        <w:tc>
          <w:tcPr>
            <w:tcW w:type="dxa" w:w="3369"/>
          </w:tcPr>
          <w:p>
            <w:r>
              <w:t>Legal</w:t>
            </w:r>
          </w:p>
        </w:tc>
      </w:tr>
      <w:tr>
        <w:tc>
          <w:tcPr>
            <w:tcW w:type="dxa" w:w="3369"/>
          </w:tcPr>
          <w:p>
            <w:r>
              <w:t>Technical math document</w:t>
            </w:r>
          </w:p>
        </w:tc>
        <w:tc>
          <w:tcPr>
            <w:tcW w:type="dxa" w:w="3369"/>
          </w:tcPr>
          <w:p>
            <w:r>
              <w:t>case-14-4</w:t>
            </w:r>
          </w:p>
        </w:tc>
        <w:tc>
          <w:tcPr>
            <w:tcW w:type="dxa" w:w="3369"/>
          </w:tcPr>
          <w:p>
            <w:r>
              <w:t>math</w:t>
            </w:r>
          </w:p>
        </w:tc>
        <w:tc>
          <w:tcPr>
            <w:tcW w:type="dxa" w:w="3369"/>
          </w:tcPr>
          <w:p>
            <w:r>
              <w:t>QA</w:t>
            </w:r>
          </w:p>
        </w:tc>
      </w:tr>
    </w:tbl>
    <w:p>
      <w:pPr>
        <w:pStyle w:val="Heading1"/>
      </w:pPr>
      <w:r>
        <w:t>4. Fields and references</w:t>
      </w:r>
    </w:p>
    <w:p>
      <w:bookmarkStart w:id="14" w:name="_TocInternetFixture"/>
      <w:r>
        <w:t xml:space="preserve">Figure </w:t>
      </w:r>
      <w:fldSimple w:instr="SEQ Figure \* ARABIC">
        <w:r>
          <w:t>1</w:t>
        </w:r>
      </w:fldSimple>
      <w:r>
        <w:t xml:space="preserve"> demonstrates the primary object. </w:t>
      </w:r>
      <w:r>
        <w:fldChar w:fldCharType="begin"/>
      </w:r>
      <w:r>
        <w:instrText xml:space="preserve"> PAGEREF _TocInternetFixture \h </w:instrText>
      </w:r>
      <w:r>
        <w:fldChar w:fldCharType="separate"/>
      </w:r>
      <w:r>
        <w:t>1</w:t>
      </w:r>
      <w:r>
        <w:fldChar w:fldCharType="end"/>
      </w:r>
      <w:bookmarkEnd w:id="14"/>
    </w:p>
    <w:p>
      <w:r>
        <w:t xml:space="preserve">External reference: </w:t>
      </w:r>
      <w:hyperlink r:id="rId11">
        <w:r>
          <w:rPr>
            <w:color w:val="0563C1"/>
            <w:u w:val="single"/>
          </w:rPr>
          <w:t>WordprocessingML structure</w:t>
        </w:r>
      </w:hyperlink>
    </w:p>
    <w:p>
      <w:r>
        <w:drawing>
          <wp:inline xmlns:a="http://schemas.openxmlformats.org/drawingml/2006/main" xmlns:pic="http://schemas.openxmlformats.org/drawingml/2006/picture">
            <wp:extent cx="4389120" cy="20574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ixture-14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89120" cy="20574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t xml:space="preserve">图 </w:t>
      </w:r>
      <w:fldSimple w:instr="SEQ 图 \* ARABIC">
        <w:r>
          <w:t>1</w:t>
        </w:r>
      </w:fldSimple>
      <w:r>
        <w:t xml:space="preserve"> Math Formula Spec 14 overview</w:t>
      </w:r>
    </w:p>
    <w:sectPr w:rsidR="00FC693F" w:rsidRPr="0006063C" w:rsidSect="00034616">
      <w:headerReference w:type="default" r:id="rId9"/>
      <w:footerReference w:type="default" r:id="rId10"/>
      <w:pgSz w:w="15840" w:h="12240" w:orient="landscape"/>
      <w:pgMar w:top="1037" w:right="1181" w:bottom="1037" w:left="118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t xml:space="preserve">Generated redistributable corpus · Page </w:t>
    </w:r>
    <w:fldSimple w:instr="PAGE">
      <w:r>
        <w:t>1</w:t>
      </w:r>
    </w:fldSimple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t>Technical math document · Math Formula Spec 14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learn.microsoft.com/en-us/office/open-xml/word/structure-of-a-wordprocessingml-document" TargetMode="External"/><Relationship Id="rId1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